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radeColorida-nfase11"/>
        <w:spacing w:lineRule="auto" w:line="360" w:before="120" w:after="0"/>
        <w:jc w:val="center"/>
        <w:rPr>
          <w:rFonts w:ascii="Arial" w:hAnsi="Arial" w:cs="Arial"/>
          <w:b/>
          <w:bCs/>
          <w:i w:val="false"/>
          <w:i w:val="false"/>
          <w:szCs w:val="20"/>
        </w:rPr>
      </w:pPr>
      <w:r>
        <w:rPr>
          <w:rFonts w:cs="Arial" w:ascii="Arial" w:hAnsi="Arial"/>
          <w:b/>
          <w:bCs/>
          <w:i w:val="false"/>
          <w:szCs w:val="20"/>
        </w:rPr>
        <w:t>MINUTA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  <w:t>ATA DE REGISTRO DE PREÇOS</w:t>
      </w:r>
    </w:p>
    <w:p>
      <w:pPr>
        <w:pStyle w:val="Normal"/>
        <w:widowControl w:val="false"/>
        <w:spacing w:lineRule="auto" w:line="360"/>
        <w:ind w:right="-15" w:hanging="0"/>
        <w:jc w:val="center"/>
        <w:rPr>
          <w:rFonts w:ascii="Arial" w:hAnsi="Arial" w:cs="Arial"/>
          <w:i/>
          <w:i/>
          <w:color w:val="FF0000"/>
          <w:sz w:val="20"/>
          <w:szCs w:val="20"/>
        </w:rPr>
      </w:pPr>
      <w:r>
        <w:rPr>
          <w:rFonts w:cs="Arial" w:ascii="Arial" w:hAnsi="Arial"/>
          <w:i/>
          <w:color w:val="000000"/>
          <w:sz w:val="20"/>
          <w:szCs w:val="20"/>
        </w:rPr>
        <w:t>3ª Brigada de Infantaria Motorizada</w:t>
      </w:r>
      <w:r>
        <w:rPr>
          <w:rFonts w:cs="Arial" w:ascii="Arial" w:hAnsi="Arial"/>
          <w:i/>
          <w:color w:val="FF0000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ATA DE REGISTRO DE PREÇOS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N.º 14/2023</w:t>
      </w:r>
    </w:p>
    <w:p>
      <w:pPr>
        <w:pStyle w:val="Normal"/>
        <w:widowControl w:val="false"/>
        <w:spacing w:lineRule="auto" w:line="360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 COMANDO DA 3ª BRIGADA DE INFANTARIA MOTORIZADA, sediado na rua Visconde de Mauá, S/N, Centro, Cristalina-GO, CEP 73850-000, inscrito(a) no CNPJ/MF sob o nº 10.263.331/0001-78,</w:t>
      </w:r>
      <w:r>
        <w:rPr>
          <w:rFonts w:cs="Arial" w:ascii="Arial" w:hAnsi="Arial"/>
          <w:sz w:val="20"/>
          <w:szCs w:val="20"/>
          <w:shd w:fill="auto" w:val="clear"/>
        </w:rPr>
        <w:t xml:space="preserve"> neste ato representado pelo Ordenador de Despesas, nomeado pelo pelo Boletim Interno nº 133, de 26 de julho de 2023, portador da Carteira de Identidade nº 019568513-6 MD/EB, inscrito no CPF nº 201.719.808-08, </w:t>
      </w:r>
      <w:r>
        <w:rPr>
          <w:rFonts w:cs="Arial" w:ascii="Arial" w:hAnsi="Arial"/>
          <w:sz w:val="20"/>
          <w:szCs w:val="20"/>
        </w:rPr>
        <w:t>considerando o julgamento da licitação na modalidade de pregão, na forma eletrônica, para REGISTRO DE PREÇOS nº 14/2023, publicada no Diário Oficial da União (DOU) nº XXX, de XX/XX/20XX, processo administrativo n.º</w:t>
      </w:r>
      <w:r>
        <w:rPr>
          <w:rFonts w:cs="Arial" w:ascii="Arial" w:hAnsi="Arial"/>
          <w:sz w:val="20"/>
          <w:szCs w:val="20"/>
          <w:shd w:fill="auto" w:val="clear"/>
        </w:rPr>
        <w:t>64290.005018/2023-67</w:t>
      </w:r>
      <w:r>
        <w:rPr>
          <w:rFonts w:cs="Arial" w:ascii="Arial" w:hAnsi="Arial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presente Ata tem por objeto o registro de preços para a eventual contratação de proposta mais vantajosa para a prestação de serviço comum de agenciamento de viagens, compreendendo o serviço de assessoria, cotação, reserva, emissão, cancelamento, reembolso de bilhetes, de passagens aéreas, nacionais e internacionais, e rodoviárias, intermunicipal e interestadual, destinados a atender demandas de viagens para atender as necessidades da 3ª Brigada de Infantaria Motorizada, especificados nos itens 1,2,3,e 4 do Termo de Referência, anexo I</w:t>
      </w:r>
      <w:r>
        <w:rPr>
          <w:i/>
          <w:color w:val="FF0000"/>
        </w:rPr>
        <w:t xml:space="preserve"> </w:t>
      </w:r>
      <w:r>
        <w:rPr>
          <w:i/>
          <w:color w:val="000000"/>
        </w:rPr>
        <w:t>do edital de Licitação nº14/2023,</w:t>
      </w:r>
      <w:r>
        <w:rPr/>
        <w:t xml:space="preserve">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preço registrado, as especificações do objeto, as quantidades de cada item, fornecedor(es) e as demais condições ofertadas na(s) proposta(s) são as que seguem: </w:t>
      </w:r>
    </w:p>
    <w:tbl>
      <w:tblPr>
        <w:tblW w:w="9653" w:type="dxa"/>
        <w:jc w:val="left"/>
        <w:tblInd w:w="-641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1452"/>
        <w:gridCol w:w="2519"/>
        <w:gridCol w:w="1627"/>
        <w:gridCol w:w="1195"/>
        <w:gridCol w:w="1195"/>
        <w:gridCol w:w="888"/>
        <w:gridCol w:w="776"/>
      </w:tblGrid>
      <w:tr>
        <w:trPr>
          <w:trHeight w:val="511" w:hRule="atLeast"/>
        </w:trPr>
        <w:tc>
          <w:tcPr>
            <w:tcW w:w="965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GRUPO</w:t>
            </w:r>
          </w:p>
        </w:tc>
        <w:tc>
          <w:tcPr>
            <w:tcW w:w="25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ITEM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DESCRIÇÃO/ESPECIFICAÇÃO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Quantidade</w:t>
            </w:r>
          </w:p>
        </w:tc>
        <w:tc>
          <w:tcPr>
            <w:tcW w:w="8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Valor unitário R($)</w:t>
            </w:r>
          </w:p>
        </w:tc>
        <w:tc>
          <w:tcPr>
            <w:tcW w:w="7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left="0" w:right="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Valor total (R$)</w:t>
            </w:r>
          </w:p>
        </w:tc>
      </w:tr>
      <w:tr>
        <w:trPr>
          <w:trHeight w:val="174" w:hRule="atLeast"/>
        </w:trPr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5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7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>
          <w:lang w:eastAsia="en-US"/>
        </w:rPr>
      </w:pPr>
      <w:r>
        <w:rPr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 xml:space="preserve">ÓRGÃO GERENCIADOR 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gerenciador será o Comando da 3ª Brigada de Infantaria Motorizada.</w:t>
      </w:r>
    </w:p>
    <w:p>
      <w:pPr>
        <w:pStyle w:val="Nvel2-Red"/>
        <w:numPr>
          <w:ilvl w:val="1"/>
          <w:numId w:val="1"/>
        </w:numPr>
        <w:ind w:left="0" w:hanging="0"/>
        <w:rPr>
          <w:color w:val="000000"/>
        </w:rPr>
      </w:pPr>
      <w:r>
        <w:rPr>
          <w:color w:val="000000"/>
        </w:rPr>
        <w:t>Além do gerenciador, não há órgãos e entidades públicas participantes do registro de preços.</w:t>
      </w:r>
    </w:p>
    <w:p>
      <w:pPr>
        <w:pStyle w:val="Nivel01"/>
        <w:numPr>
          <w:ilvl w:val="0"/>
          <w:numId w:val="1"/>
        </w:numPr>
        <w:ind w:left="0" w:hanging="0"/>
        <w:rPr>
          <w:i/>
          <w:i/>
          <w:color w:val="FF0000"/>
        </w:rPr>
      </w:pPr>
      <w:r>
        <w:rPr/>
        <w:t xml:space="preserve">DA ADESÃO À ATA DE REGISTRO DE PREÇOS </w:t>
      </w:r>
    </w:p>
    <w:p>
      <w:pPr>
        <w:pStyle w:val="Nvel2-Red"/>
        <w:numPr>
          <w:ilvl w:val="1"/>
          <w:numId w:val="1"/>
        </w:numPr>
        <w:ind w:left="0" w:hanging="0"/>
        <w:rPr>
          <w:color w:val="000000"/>
        </w:rPr>
      </w:pPr>
      <w:r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adesão à ata de registro de preços por órgãos e en</w:t>
      </w:r>
      <w:r>
        <w:rPr>
          <w:rFonts w:eastAsia="Arial"/>
        </w:rPr>
        <w:t>ti</w:t>
      </w:r>
      <w:r>
        <w:rPr/>
        <w:t>dades da Administração Pública estadual, distrital e municipal poderá ser exigida para fins de transferências voluntárias, não ficando sujeita ao limite de que trata o item 4.7, desde que seja des</w:t>
      </w:r>
      <w:r>
        <w:rPr>
          <w:rFonts w:eastAsia="Arial"/>
        </w:rPr>
        <w:t>ti</w:t>
      </w:r>
      <w:r>
        <w:rPr/>
        <w:t>nada à execução descentralizada de programa ou projeto federal e comprovada a compatibilidade dos preços registrados com os valores praticados no mercado na forma do art. 23 da Lei nº 14.133, de 2021.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>
          <w:iCs/>
        </w:rPr>
      </w:pPr>
      <w:r>
        <w:rPr/>
        <w:t xml:space="preserve">A validade da Ata de Registro de Preços será de 12 (doze) meses, contado a partir do primeiro dia útil subsequente à data de divulgação no PNCP, </w:t>
      </w:r>
      <w:r>
        <w:rPr>
          <w:color w:val="000000"/>
        </w:rPr>
        <w:t>podendo não ser prorrogada.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>vos do adjudicatário, devendo ser observada a possibilidade de o licitante oferecer ou não proposta em quantitativo inferior ao máximo previsto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no edital </w:t>
      </w:r>
      <w:r>
        <w:rPr/>
        <w:t>e se obrigar nos limites dela;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 xml:space="preserve"> REF cadastro_reserva \r \h </w:instrText>
      </w:r>
      <w:r>
        <w:rPr/>
        <w:fldChar w:fldCharType="separate"/>
      </w:r>
      <w:r>
        <w:rPr/>
        <w:t>5.4.2.2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Quando o licitante vencedor não assinar a ata de registro de preços, no prazo e nas condições estabelecidos </w:t>
      </w:r>
      <w:r>
        <w:rPr>
          <w:i/>
          <w:iCs/>
          <w:color w:val="000000"/>
        </w:rPr>
        <w:t>no edital</w:t>
      </w:r>
      <w:r>
        <w:rPr>
          <w:color w:val="FF0000"/>
        </w:rPr>
        <w:t xml:space="preserve"> </w:t>
      </w:r>
      <w:r>
        <w:rPr/>
        <w:t>e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 xml:space="preserve"> REF cancelamento \r \h </w:instrText>
      </w:r>
      <w:r>
        <w:rPr/>
        <w:fldChar w:fldCharType="separate"/>
      </w:r>
      <w:r>
        <w:rPr/>
        <w:t>9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Quando o convocado não assinar a ata de registro de preços no prazo e nas condições estabelecidos no edital ou no aviso de contratação, e observado o disposto no item </w:t>
      </w:r>
      <w:r>
        <w:rPr/>
        <w:t>5.7</w:t>
      </w:r>
      <w:r>
        <w:rPr/>
        <w:t xml:space="preserve">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 xml:space="preserve">mado e sua eventual atualização nos termos </w:t>
      </w:r>
      <w:r>
        <w:rPr>
          <w:i/>
          <w:iCs/>
          <w:color w:val="000000"/>
        </w:rPr>
        <w:t>do edital</w:t>
      </w:r>
      <w:r>
        <w:rPr/>
        <w:t>, poderá: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 xml:space="preserve"> REF cancelamento_da_ata \r \h </w:instrText>
      </w:r>
      <w:r>
        <w:rPr/>
        <w:fldChar w:fldCharType="separate"/>
      </w:r>
      <w:r>
        <w:rPr/>
        <w:t>9.4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 xml:space="preserve"> REF hipotese_preco_mercado_maior \r \h </w:instrText>
      </w:r>
      <w:r>
        <w:rPr/>
        <w:fldChar w:fldCharType="separate"/>
      </w:r>
      <w:r>
        <w:rPr/>
        <w:t>7.2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 xml:space="preserve"> REF prova_preco_mercado_maior \r \h </w:instrText>
      </w:r>
      <w:r>
        <w:rPr/>
        <w:fldChar w:fldCharType="separate"/>
      </w:r>
      <w:r>
        <w:rPr/>
        <w:t>7.2.1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 xml:space="preserve"> REF gerenciador_estimador_é_partic_em_remane \r \h </w:instrText>
      </w:r>
      <w:r>
        <w:rPr/>
        <w:fldChar w:fldCharType="separate"/>
      </w:r>
      <w:r>
        <w:rPr/>
        <w:t>8.3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descumprimento da Ata de Registro de Preços ensejará aplicação das penalidades estabelecidas</w:t>
      </w:r>
      <w:r>
        <w:rPr>
          <w:color w:val="000000"/>
        </w:rPr>
        <w:t xml:space="preserve"> </w:t>
      </w:r>
      <w:r>
        <w:rPr>
          <w:i/>
          <w:color w:val="000000"/>
        </w:rPr>
        <w:t>no edital</w:t>
      </w:r>
      <w:r>
        <w:rPr>
          <w:color w:val="000000"/>
        </w:rPr>
        <w:t>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As condições gerais de execução do objeto, tais como os prazos para entrega e recebimento, as obrigações da Administração e do fornecedor registrado, penalidades e demais condições do ajuste, encontram-se definidos no Termo de Referência, AN</w:t>
      </w:r>
      <w:r>
        <w:rPr>
          <w:color w:val="000000"/>
        </w:rPr>
        <w:t xml:space="preserve">EXO </w:t>
      </w:r>
      <w:r>
        <w:rPr>
          <w:i/>
          <w:color w:val="000000"/>
        </w:rPr>
        <w:t>AO EDITAL.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Para firmeza e validade do pactuado, a presente Ata foi lavrada em 2 (duas) vias de igual teor, que, depois de lida e achada em ordem, vai assinada pelas partes.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Cristalina – GO, XX de XXX de 2023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Fabrício Consentino Eloy – Cel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Ordenador de Despesas da 3ª Brigada de Infantaria Motorizada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do órgão gerenciador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Anexo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10146" w:type="dxa"/>
        <w:jc w:val="left"/>
        <w:tblInd w:w="-641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1452"/>
        <w:gridCol w:w="2296"/>
        <w:gridCol w:w="1849"/>
        <w:gridCol w:w="1195"/>
        <w:gridCol w:w="1195"/>
        <w:gridCol w:w="1196"/>
        <w:gridCol w:w="962"/>
      </w:tblGrid>
      <w:tr>
        <w:trPr>
          <w:trHeight w:val="511" w:hRule="atLeast"/>
        </w:trPr>
        <w:tc>
          <w:tcPr>
            <w:tcW w:w="101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GRUPO</w:t>
            </w:r>
          </w:p>
        </w:tc>
        <w:tc>
          <w:tcPr>
            <w:tcW w:w="2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ITEM</w:t>
            </w:r>
          </w:p>
        </w:tc>
        <w:tc>
          <w:tcPr>
            <w:tcW w:w="1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DESCRIÇÃO/ESPECIFICAÇÃO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Quantidade</w:t>
            </w:r>
          </w:p>
        </w:tc>
        <w:tc>
          <w:tcPr>
            <w:tcW w:w="11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Valor unitário R($)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360" w:before="0" w:after="0"/>
              <w:ind w:left="0" w:right="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Valor total (R$)</w:t>
            </w:r>
          </w:p>
        </w:tc>
      </w:tr>
      <w:tr>
        <w:trPr>
          <w:trHeight w:val="174" w:hRule="atLeast"/>
        </w:trPr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qFormat/>
    <w:pPr>
      <w:keepNext w:val="true"/>
      <w:keepLines/>
      <w:spacing w:before="480" w:after="0"/>
      <w:outlineLvl w:val="0"/>
    </w:pPr>
    <w:rPr>
      <w:rFonts w:ascii="Cambria" w:hAnsi="Cambria" w:eastAsia="Arial" w:cs="Arial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Ttulo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Ttulo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Ttulo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Ttulo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Ttulo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Ttulo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Caracteresdenotaderodap">
    <w:name w:val="Caracteres de nota de rodapé"/>
    <w:uiPriority w:val="99"/>
    <w:unhideWhenUsed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Caracteresdenotadefim">
    <w:name w:val="Caracteres de nota de fim"/>
    <w:uiPriority w:val="99"/>
    <w:semiHidden/>
    <w:unhideWhenUsed/>
    <w:qFormat/>
    <w:rPr>
      <w:vertAlign w:val="superscript"/>
    </w:rPr>
  </w:style>
  <w:style w:type="character" w:styleId="Ncoradanotadefim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qFormat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Pr>
      <w:sz w:val="24"/>
      <w:szCs w:val="24"/>
    </w:rPr>
  </w:style>
  <w:style w:type="character" w:styleId="LinkdaInternet">
    <w:name w:val="Hyperlink"/>
    <w:uiPriority w:val="99"/>
    <w:unhideWhenUsed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qFormat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uiPriority w:val="29"/>
    <w:qFormat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qFormat/>
    <w:rPr>
      <w:rFonts w:ascii="Cambria" w:hAnsi="Cambria" w:eastAsia="Arial" w:cs="Arial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qFormat/>
    <w:rPr>
      <w:rFonts w:ascii="Arial" w:hAnsi="Arial" w:eastAsia="Arial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semiHidden/>
    <w:qFormat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qFormat/>
    <w:rPr>
      <w:rFonts w:ascii="Arial" w:hAnsi="Arial" w:eastAsia="Arial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qFormat/>
    <w:rPr>
      <w:rFonts w:ascii="Arial" w:hAnsi="Arial" w:cs="Arial"/>
    </w:rPr>
  </w:style>
  <w:style w:type="character" w:styleId="Nvel2-RedChar" w:customStyle="1">
    <w:name w:val="Nível 2 -Red Char"/>
    <w:basedOn w:val="Nivel2Char"/>
    <w:qFormat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qFormat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qFormat/>
    <w:rPr>
      <w:rFonts w:ascii="Arial" w:hAnsi="Arial" w:eastAsia="Arial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qFormat/>
    <w:rPr>
      <w:rFonts w:ascii="Arial" w:hAnsi="Arial" w:cs="Arial"/>
      <w:b/>
      <w:bCs/>
      <w:i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uiPriority w:val="99"/>
    <w:unhideWhenUsed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tulododocumento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tulo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Notaderodap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Notadefim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Sumrio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Sumrio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Sumrio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Sumrio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Sumrio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Sumrio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Sumrio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Sumrio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Sumrio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tulodondicealfabtico">
    <w:name w:val="Index Heading"/>
    <w:basedOn w:val="Ttulo"/>
    <w:pPr/>
    <w:rPr/>
  </w:style>
  <w:style w:type="paragraph" w:styleId="Ttulodosumrio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GradeColorida-nfase11" w:customStyle="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uiPriority w:val="99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Times New Roman" w:hAnsi="Times New Roman" w:eastAsia="Calibri" w:cs="Lucida Sans"/>
      <w:color w:val="000000"/>
      <w:kern w:val="0"/>
      <w:sz w:val="20"/>
      <w:szCs w:val="20"/>
      <w:lang w:val="pt-BR" w:eastAsia="en-US" w:bidi="ar-SA"/>
    </w:rPr>
  </w:style>
  <w:style w:type="paragraph" w:styleId="Quote">
    <w:name w:val="Quote"/>
    <w:basedOn w:val="Normal"/>
    <w:uiPriority w:val="29"/>
    <w:qFormat/>
    <w:pPr/>
    <w:rPr>
      <w:i/>
      <w:iCs/>
      <w:color w:val="000000" w:themeColor="text1"/>
    </w:rPr>
  </w:style>
  <w:style w:type="paragraph" w:styleId="Nivel1" w:customStyle="1">
    <w:name w:val="Nivel1"/>
    <w:basedOn w:val="Ttulo1"/>
    <w:qFormat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qFormat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unhideWhenUsed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unhideWhenUsed/>
    <w:qFormat/>
    <w:pPr/>
    <w:rPr>
      <w:b/>
      <w:bCs/>
    </w:rPr>
  </w:style>
  <w:style w:type="paragraph" w:styleId="BalloonText">
    <w:name w:val="Balloon Text"/>
    <w:basedOn w:val="Normal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qFormat/>
    <w:pPr>
      <w:numPr>
        <w:ilvl w:val="1"/>
        <w:numId w:val="1"/>
      </w:num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qFormat/>
    <w:pPr/>
    <w:rPr>
      <w:i/>
      <w:iCs/>
      <w:color w:val="FF0000"/>
    </w:rPr>
  </w:style>
  <w:style w:type="paragraph" w:styleId="Ou" w:customStyle="1">
    <w:name w:val="ou"/>
    <w:basedOn w:val="ListParagraph"/>
    <w:qFormat/>
    <w:pPr>
      <w:spacing w:lineRule="auto" w:line="259" w:before="60" w:after="60"/>
      <w:ind w:left="0" w:hanging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qFormat/>
    <w:pPr>
      <w:numPr>
        <w:ilvl w:val="2"/>
        <w:numId w:val="1"/>
      </w:numPr>
      <w:spacing w:lineRule="auto" w:line="276" w:before="120" w:after="120"/>
      <w:ind w:left="284" w:hanging="0"/>
      <w:jc w:val="both"/>
    </w:pPr>
    <w:rPr>
      <w:rFonts w:ascii="Arial" w:hAnsi="Arial" w:eastAsia="Arial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qFormat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qFormat/>
    <w:pPr>
      <w:ind w:left="567" w:hanging="0"/>
    </w:pPr>
    <w:rPr/>
  </w:style>
  <w:style w:type="paragraph" w:styleId="SubTitNN" w:customStyle="1">
    <w:name w:val="SubTitNN"/>
    <w:basedOn w:val="Normal"/>
    <w:qFormat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<Relationship Id="rId10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Application>LibreOffice/7.5.5.2$Windows_X86_64 LibreOffice_project/ca8fe7424262805f223b9a2334bc7181abbcbf5e</Application>
  <AppVersion>15.0000</AppVersion>
  <Pages>7</Pages>
  <Words>2964</Words>
  <Characters>16607</Characters>
  <CharactersWithSpaces>19368</CharactersWithSpaces>
  <Paragraphs>146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2023-08-22T10:56:51Z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